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A2A" w:rsidRPr="00B66A2A" w:rsidRDefault="00603547" w:rsidP="00D45E1A">
      <w:pPr>
        <w:pStyle w:val="Heading6"/>
        <w:jc w:val="center"/>
        <w:rPr>
          <w:lang w:eastAsia="en-US"/>
        </w:rPr>
      </w:pPr>
      <w:r w:rsidRPr="0037773B">
        <w:rPr>
          <w:rFonts w:ascii="Times New Roman" w:hAnsi="Times New Roman"/>
          <w:bCs w:val="0"/>
          <w:i/>
          <w:sz w:val="24"/>
          <w:szCs w:val="24"/>
          <w:lang w:eastAsia="en-US"/>
        </w:rPr>
        <w:t>Job Advertisement for Assistant to the RTA</w:t>
      </w:r>
    </w:p>
    <w:p w:rsidR="00603547" w:rsidRDefault="00603547" w:rsidP="00157024">
      <w:pPr>
        <w:pStyle w:val="Heading1"/>
        <w:ind w:left="-709" w:firstLine="709"/>
        <w:jc w:val="center"/>
      </w:pPr>
      <w:r>
        <w:t xml:space="preserve">         </w:t>
      </w:r>
      <w:r w:rsidR="009E239B">
        <w:t xml:space="preserve">  </w:t>
      </w:r>
      <w:r>
        <w:t xml:space="preserve">  </w:t>
      </w:r>
    </w:p>
    <w:tbl>
      <w:tblPr>
        <w:tblW w:w="10065" w:type="dxa"/>
        <w:tblInd w:w="-5" w:type="dxa"/>
        <w:tblLook w:val="04A0"/>
      </w:tblPr>
      <w:tblGrid>
        <w:gridCol w:w="1869"/>
        <w:gridCol w:w="2224"/>
        <w:gridCol w:w="1899"/>
        <w:gridCol w:w="1899"/>
        <w:gridCol w:w="2253"/>
      </w:tblGrid>
      <w:tr w:rsidR="00D45E1A" w:rsidTr="00DC2D8D">
        <w:tc>
          <w:tcPr>
            <w:tcW w:w="1952" w:type="dxa"/>
            <w:shd w:val="clear" w:color="auto" w:fill="auto"/>
          </w:tcPr>
          <w:p w:rsidR="00D45E1A" w:rsidRPr="00DC2D8D" w:rsidRDefault="008307E5" w:rsidP="00DC2D8D">
            <w:pPr>
              <w:jc w:val="center"/>
              <w:rPr>
                <w:rFonts w:ascii="Calibri" w:eastAsia="Calibri" w:hAnsi="Calibri"/>
                <w:b/>
                <w:color w:val="1F497D"/>
                <w:sz w:val="22"/>
                <w:szCs w:val="22"/>
              </w:rPr>
            </w:pPr>
            <w:bookmarkStart w:id="0" w:name="_Hlk33697147"/>
            <w:bookmarkEnd w:id="0"/>
            <w:r>
              <w:rPr>
                <w:rFonts w:ascii="Calibri" w:eastAsia="Calibri" w:hAnsi="Calibri"/>
                <w:noProof/>
                <w:sz w:val="22"/>
                <w:szCs w:val="22"/>
                <w:lang w:val="mk-MK" w:eastAsia="mk-MK"/>
              </w:rPr>
              <w:drawing>
                <wp:inline distT="0" distB="0" distL="0" distR="0">
                  <wp:extent cx="1047750" cy="628650"/>
                  <wp:effectExtent l="19050" t="0" r="0" b="0"/>
                  <wp:docPr id="2" name="Paveikslėlis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veikslėlis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6" w:type="dxa"/>
            <w:shd w:val="clear" w:color="auto" w:fill="auto"/>
          </w:tcPr>
          <w:p w:rsidR="00D45E1A" w:rsidRPr="00DC2D8D" w:rsidRDefault="008307E5" w:rsidP="00DC2D8D">
            <w:pPr>
              <w:jc w:val="center"/>
              <w:rPr>
                <w:rFonts w:ascii="Calibri" w:eastAsia="Calibri" w:hAnsi="Calibri"/>
                <w:b/>
                <w:color w:val="1F497D"/>
                <w:sz w:val="22"/>
                <w:szCs w:val="22"/>
              </w:rPr>
            </w:pPr>
            <w:r>
              <w:rPr>
                <w:rFonts w:ascii="Calibri" w:eastAsia="Calibri" w:hAnsi="Calibri"/>
                <w:noProof/>
                <w:sz w:val="22"/>
                <w:szCs w:val="22"/>
                <w:lang w:val="mk-MK" w:eastAsia="mk-MK"/>
              </w:rPr>
              <w:drawing>
                <wp:inline distT="0" distB="0" distL="0" distR="0">
                  <wp:extent cx="1276350" cy="638175"/>
                  <wp:effectExtent l="19050" t="0" r="0" b="0"/>
                  <wp:docPr id="3" name="Paveikslėlis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veikslėlis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9" w:type="dxa"/>
            <w:shd w:val="clear" w:color="auto" w:fill="auto"/>
          </w:tcPr>
          <w:p w:rsidR="00D45E1A" w:rsidRPr="00DC2D8D" w:rsidRDefault="008307E5" w:rsidP="00DC2D8D">
            <w:pPr>
              <w:jc w:val="center"/>
              <w:rPr>
                <w:rFonts w:ascii="Calibri" w:eastAsia="Calibri" w:hAnsi="Calibri"/>
                <w:b/>
                <w:color w:val="1F497D"/>
                <w:sz w:val="22"/>
                <w:szCs w:val="22"/>
              </w:rPr>
            </w:pPr>
            <w:r>
              <w:rPr>
                <w:rFonts w:ascii="Calibri" w:eastAsia="Calibri" w:hAnsi="Calibri"/>
                <w:noProof/>
                <w:sz w:val="22"/>
                <w:szCs w:val="22"/>
                <w:lang w:val="mk-MK" w:eastAsia="mk-MK"/>
              </w:rPr>
              <w:drawing>
                <wp:inline distT="0" distB="0" distL="0" distR="0">
                  <wp:extent cx="1066800" cy="704850"/>
                  <wp:effectExtent l="19050" t="0" r="0" b="0"/>
                  <wp:docPr id="4" name="Paveikslėlis 10" descr="Paveikslėlis, kuriame yra gėlė&#10;&#10;Automatiškai sugeneruotas aprašym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veikslėlis 10" descr="Paveikslėlis, kuriame yra gėlė&#10;&#10;Automatiškai sugeneruotas aprašym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704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6" w:type="dxa"/>
            <w:shd w:val="clear" w:color="auto" w:fill="auto"/>
          </w:tcPr>
          <w:p w:rsidR="00D45E1A" w:rsidRPr="00DC2D8D" w:rsidRDefault="008307E5" w:rsidP="00DC2D8D">
            <w:pPr>
              <w:jc w:val="center"/>
              <w:rPr>
                <w:rFonts w:ascii="Calibri" w:eastAsia="Calibri" w:hAnsi="Calibri"/>
                <w:b/>
                <w:color w:val="1F497D"/>
                <w:sz w:val="22"/>
                <w:szCs w:val="22"/>
              </w:rPr>
            </w:pPr>
            <w:r>
              <w:rPr>
                <w:rFonts w:ascii="Calibri" w:eastAsia="Calibri" w:hAnsi="Calibri"/>
                <w:noProof/>
                <w:sz w:val="22"/>
                <w:szCs w:val="22"/>
                <w:lang w:val="mk-MK" w:eastAsia="mk-MK"/>
              </w:rPr>
              <w:drawing>
                <wp:inline distT="0" distB="0" distL="0" distR="0">
                  <wp:extent cx="1057275" cy="704850"/>
                  <wp:effectExtent l="19050" t="0" r="9525" b="0"/>
                  <wp:docPr id="5" name="Paveikslėlis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veikslėlis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704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72" w:type="dxa"/>
            <w:shd w:val="clear" w:color="auto" w:fill="auto"/>
          </w:tcPr>
          <w:p w:rsidR="00D45E1A" w:rsidRPr="00DC2D8D" w:rsidRDefault="008307E5" w:rsidP="00DC2D8D">
            <w:pPr>
              <w:jc w:val="center"/>
              <w:rPr>
                <w:rFonts w:ascii="Calibri" w:eastAsia="Calibri" w:hAnsi="Calibri"/>
                <w:b/>
                <w:color w:val="1F497D"/>
                <w:sz w:val="22"/>
                <w:szCs w:val="22"/>
              </w:rPr>
            </w:pPr>
            <w:r>
              <w:rPr>
                <w:rFonts w:ascii="Calibri" w:eastAsia="Calibri" w:hAnsi="Calibri"/>
                <w:noProof/>
                <w:sz w:val="22"/>
                <w:szCs w:val="22"/>
                <w:lang w:val="mk-MK" w:eastAsia="mk-MK"/>
              </w:rPr>
              <w:drawing>
                <wp:inline distT="0" distB="0" distL="0" distR="0">
                  <wp:extent cx="1295400" cy="647700"/>
                  <wp:effectExtent l="19050" t="0" r="0" b="0"/>
                  <wp:docPr id="6" name="Paveikslėlis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veikslėlis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03547" w:rsidRDefault="00603547" w:rsidP="00DB218A">
      <w:pPr>
        <w:pStyle w:val="Heading1"/>
      </w:pPr>
    </w:p>
    <w:p w:rsidR="00E47E6F" w:rsidRPr="00E47E6F" w:rsidRDefault="00E47E6F" w:rsidP="00E47E6F">
      <w:pPr>
        <w:rPr>
          <w:lang w:eastAsia="en-US"/>
        </w:rPr>
      </w:pPr>
    </w:p>
    <w:p w:rsidR="00E47E6F" w:rsidRPr="00E47E6F" w:rsidRDefault="00E47E6F" w:rsidP="00E47E6F">
      <w:pPr>
        <w:rPr>
          <w:lang w:eastAsia="en-US"/>
        </w:rPr>
      </w:pPr>
    </w:p>
    <w:p w:rsidR="009E5F08" w:rsidRPr="000D0093" w:rsidRDefault="009E5F08" w:rsidP="009E5F08">
      <w:pPr>
        <w:pStyle w:val="Address"/>
        <w:jc w:val="center"/>
        <w:rPr>
          <w:b/>
          <w:bCs/>
          <w:szCs w:val="24"/>
          <w:lang w:eastAsia="de-DE"/>
        </w:rPr>
      </w:pPr>
      <w:r w:rsidRPr="000D0093">
        <w:rPr>
          <w:b/>
          <w:bCs/>
          <w:szCs w:val="24"/>
          <w:lang w:eastAsia="de-DE"/>
        </w:rPr>
        <w:t xml:space="preserve">The </w:t>
      </w:r>
      <w:r w:rsidRPr="00AF445A">
        <w:rPr>
          <w:b/>
          <w:bCs/>
          <w:szCs w:val="24"/>
          <w:lang w:eastAsia="de-DE"/>
        </w:rPr>
        <w:t xml:space="preserve">European Union’s </w:t>
      </w:r>
      <w:r w:rsidR="00556C0B" w:rsidRPr="00AF445A">
        <w:rPr>
          <w:b/>
          <w:bCs/>
          <w:szCs w:val="24"/>
          <w:lang w:eastAsia="de-DE"/>
        </w:rPr>
        <w:t>IPA</w:t>
      </w:r>
      <w:r w:rsidRPr="00AF445A">
        <w:rPr>
          <w:b/>
          <w:bCs/>
          <w:szCs w:val="24"/>
          <w:lang w:eastAsia="de-DE"/>
        </w:rPr>
        <w:t xml:space="preserve"> Programme for </w:t>
      </w:r>
      <w:r w:rsidR="00556C0B" w:rsidRPr="00AF445A">
        <w:rPr>
          <w:b/>
          <w:bCs/>
          <w:szCs w:val="24"/>
          <w:lang w:eastAsia="de-DE"/>
        </w:rPr>
        <w:t>North Macedonia</w:t>
      </w:r>
      <w:r w:rsidRPr="000D0093">
        <w:rPr>
          <w:b/>
          <w:bCs/>
          <w:szCs w:val="24"/>
          <w:lang w:eastAsia="de-DE"/>
        </w:rPr>
        <w:t xml:space="preserve"> EU funded </w:t>
      </w:r>
    </w:p>
    <w:p w:rsidR="00656404" w:rsidRDefault="009E5F08" w:rsidP="00656404">
      <w:pPr>
        <w:pStyle w:val="Address"/>
        <w:spacing w:after="240"/>
        <w:jc w:val="center"/>
        <w:rPr>
          <w:b/>
          <w:bCs/>
          <w:szCs w:val="24"/>
          <w:lang w:eastAsia="de-DE"/>
        </w:rPr>
      </w:pPr>
      <w:r w:rsidRPr="000D0093">
        <w:rPr>
          <w:b/>
          <w:bCs/>
          <w:szCs w:val="24"/>
          <w:lang w:eastAsia="de-DE"/>
        </w:rPr>
        <w:t xml:space="preserve">Twinning Project </w:t>
      </w:r>
      <w:r w:rsidR="00656404">
        <w:rPr>
          <w:b/>
          <w:bCs/>
          <w:szCs w:val="24"/>
          <w:lang w:eastAsia="de-DE"/>
        </w:rPr>
        <w:t>“Further support to the implementation of the National Qualification Network”</w:t>
      </w:r>
    </w:p>
    <w:p w:rsidR="00656404" w:rsidRDefault="00656404" w:rsidP="00656404">
      <w:pPr>
        <w:pStyle w:val="Address"/>
        <w:spacing w:after="240"/>
        <w:jc w:val="center"/>
        <w:rPr>
          <w:b/>
          <w:bCs/>
          <w:szCs w:val="24"/>
          <w:lang w:eastAsia="de-DE"/>
        </w:rPr>
      </w:pPr>
      <w:r>
        <w:rPr>
          <w:b/>
          <w:bCs/>
          <w:szCs w:val="24"/>
          <w:lang w:eastAsia="de-DE"/>
        </w:rPr>
        <w:t>Ref. MK IPA 17 SO 01 21</w:t>
      </w:r>
    </w:p>
    <w:p w:rsidR="00DB218A" w:rsidRPr="000D0093" w:rsidRDefault="009E5F08" w:rsidP="009E5F08">
      <w:pPr>
        <w:pStyle w:val="Address"/>
        <w:jc w:val="center"/>
        <w:rPr>
          <w:b/>
          <w:bCs/>
          <w:szCs w:val="24"/>
          <w:lang w:eastAsia="de-DE"/>
        </w:rPr>
      </w:pPr>
      <w:r w:rsidRPr="000D0093">
        <w:rPr>
          <w:b/>
          <w:bCs/>
          <w:szCs w:val="24"/>
          <w:lang w:eastAsia="de-DE"/>
        </w:rPr>
        <w:t>is seeking to recruit an</w:t>
      </w:r>
    </w:p>
    <w:p w:rsidR="009E5F08" w:rsidRPr="000D0093" w:rsidRDefault="009E5F08" w:rsidP="009E5F08">
      <w:pPr>
        <w:pStyle w:val="Address"/>
        <w:jc w:val="center"/>
        <w:rPr>
          <w:b/>
          <w:sz w:val="28"/>
          <w:szCs w:val="28"/>
        </w:rPr>
      </w:pPr>
    </w:p>
    <w:p w:rsidR="00D56B03" w:rsidRPr="000D0093" w:rsidRDefault="00603547" w:rsidP="00DB218A">
      <w:pPr>
        <w:pStyle w:val="Address"/>
        <w:jc w:val="center"/>
        <w:rPr>
          <w:b/>
          <w:sz w:val="28"/>
          <w:szCs w:val="28"/>
        </w:rPr>
      </w:pPr>
      <w:r w:rsidRPr="000D0093">
        <w:rPr>
          <w:b/>
          <w:sz w:val="28"/>
          <w:szCs w:val="28"/>
        </w:rPr>
        <w:t>Assistant to the Resident Twinning Adviser (RTA Assistant)</w:t>
      </w:r>
    </w:p>
    <w:p w:rsidR="00D56B03" w:rsidRPr="000D0093" w:rsidRDefault="00D56B03" w:rsidP="00D30C3C">
      <w:pPr>
        <w:jc w:val="both"/>
        <w:rPr>
          <w:rFonts w:ascii="Arial" w:hAnsi="Arial"/>
        </w:rPr>
      </w:pPr>
    </w:p>
    <w:p w:rsidR="00034CBA" w:rsidRPr="000D0093" w:rsidRDefault="00034CBA" w:rsidP="00034CBA">
      <w:pPr>
        <w:jc w:val="both"/>
      </w:pPr>
      <w:r w:rsidRPr="000D0093">
        <w:t>The Twinning Project “</w:t>
      </w:r>
      <w:r w:rsidR="00D45E1A" w:rsidRPr="00D45E1A">
        <w:t>Further support to the implementation of the National Qualifications Framework</w:t>
      </w:r>
      <w:r w:rsidRPr="000D0093">
        <w:t>” is a joint project between</w:t>
      </w:r>
      <w:r w:rsidR="00D45E1A">
        <w:t xml:space="preserve"> the </w:t>
      </w:r>
      <w:r w:rsidR="00D45E1A" w:rsidRPr="00D45E1A">
        <w:t xml:space="preserve">Republic of North Macedonia </w:t>
      </w:r>
      <w:r w:rsidRPr="000D0093">
        <w:t xml:space="preserve">and the Republic of Lithuania, represented by </w:t>
      </w:r>
      <w:r w:rsidR="00D45E1A">
        <w:t xml:space="preserve">the </w:t>
      </w:r>
      <w:r w:rsidR="00D45E1A" w:rsidRPr="00D45E1A">
        <w:t xml:space="preserve">Ministry of Education and Science of the Republic of North Macedonia </w:t>
      </w:r>
      <w:r w:rsidRPr="000D0093">
        <w:t xml:space="preserve">and </w:t>
      </w:r>
      <w:r w:rsidR="00D45E1A">
        <w:t xml:space="preserve">the </w:t>
      </w:r>
      <w:r w:rsidR="00D45E1A" w:rsidRPr="00D45E1A">
        <w:t>Ministry of Education, Science and Sport of the Republic of Lithuania</w:t>
      </w:r>
      <w:r w:rsidRPr="000D0093">
        <w:t>.</w:t>
      </w:r>
    </w:p>
    <w:p w:rsidR="00034CBA" w:rsidRPr="000D0093" w:rsidRDefault="00034CBA" w:rsidP="00034CBA">
      <w:pPr>
        <w:jc w:val="both"/>
      </w:pPr>
    </w:p>
    <w:p w:rsidR="00034CBA" w:rsidRDefault="007715AA" w:rsidP="00034CBA">
      <w:pPr>
        <w:jc w:val="both"/>
      </w:pPr>
      <w:r w:rsidRPr="007715AA">
        <w:t xml:space="preserve">The overall objective </w:t>
      </w:r>
      <w:r>
        <w:t>of the project</w:t>
      </w:r>
      <w:r w:rsidR="005D408D" w:rsidRPr="004B4CDA">
        <w:t>, which is implemented by a consortium of relevant state institutions from Lithuania</w:t>
      </w:r>
      <w:r w:rsidR="005D408D">
        <w:t>,</w:t>
      </w:r>
      <w:r w:rsidR="005D408D" w:rsidRPr="004B4CDA">
        <w:t xml:space="preserve"> France and </w:t>
      </w:r>
      <w:r w:rsidR="005D408D">
        <w:t>Slovenia,</w:t>
      </w:r>
      <w:r w:rsidR="005D408D" w:rsidRPr="004B4CDA">
        <w:t xml:space="preserve"> </w:t>
      </w:r>
      <w:r w:rsidRPr="007715AA">
        <w:t>is further strengthening and operationalization of the National Qualifications Framework (NQF) aiming to increase the employability, mobility and social integration of workers and learners.</w:t>
      </w:r>
    </w:p>
    <w:p w:rsidR="007715AA" w:rsidRPr="000D0093" w:rsidRDefault="007715AA" w:rsidP="00034CBA">
      <w:pPr>
        <w:jc w:val="both"/>
      </w:pPr>
    </w:p>
    <w:p w:rsidR="005866AB" w:rsidRPr="000D0093" w:rsidRDefault="009E239B" w:rsidP="005866AB">
      <w:pPr>
        <w:autoSpaceDE w:val="0"/>
        <w:autoSpaceDN w:val="0"/>
        <w:adjustRightInd w:val="0"/>
        <w:jc w:val="both"/>
      </w:pPr>
      <w:r w:rsidRPr="000D0093">
        <w:t>The project is seeking an Assistant to the Resident Twinning Adviser (RTA Assistant</w:t>
      </w:r>
      <w:r w:rsidRPr="005866AB">
        <w:t>), whose activities include assisting the RTA with co-ordination and man</w:t>
      </w:r>
      <w:r w:rsidR="001E7651" w:rsidRPr="005866AB">
        <w:t>agement of the Twinning project.</w:t>
      </w:r>
      <w:r w:rsidRPr="005866AB">
        <w:rPr>
          <w:b/>
          <w:shadow/>
        </w:rPr>
        <w:t xml:space="preserve"> </w:t>
      </w:r>
      <w:r w:rsidR="005866AB" w:rsidRPr="005866AB">
        <w:t>The project started on the 1</w:t>
      </w:r>
      <w:r w:rsidR="005866AB" w:rsidRPr="005866AB">
        <w:rPr>
          <w:vertAlign w:val="superscript"/>
        </w:rPr>
        <w:t>st</w:t>
      </w:r>
      <w:r w:rsidR="005866AB" w:rsidRPr="005866AB">
        <w:t xml:space="preserve"> of October 2021 and the duration is 27</w:t>
      </w:r>
      <w:r w:rsidR="005866AB" w:rsidRPr="005866AB">
        <w:rPr>
          <w:lang w:val="en-US"/>
        </w:rPr>
        <w:t xml:space="preserve"> </w:t>
      </w:r>
      <w:r w:rsidR="005866AB" w:rsidRPr="005866AB">
        <w:t>months.</w:t>
      </w:r>
      <w:r w:rsidR="005866AB" w:rsidRPr="00BA235A">
        <w:t xml:space="preserve"> </w:t>
      </w:r>
    </w:p>
    <w:p w:rsidR="009E239B" w:rsidRPr="000D0093" w:rsidRDefault="009E239B" w:rsidP="00DB218A">
      <w:pPr>
        <w:autoSpaceDE w:val="0"/>
        <w:autoSpaceDN w:val="0"/>
        <w:adjustRightInd w:val="0"/>
        <w:jc w:val="both"/>
      </w:pPr>
    </w:p>
    <w:p w:rsidR="00656404" w:rsidRPr="00656404" w:rsidRDefault="009E239B" w:rsidP="00DB218A">
      <w:pPr>
        <w:autoSpaceDE w:val="0"/>
        <w:autoSpaceDN w:val="0"/>
        <w:adjustRightInd w:val="0"/>
        <w:jc w:val="both"/>
      </w:pPr>
      <w:bookmarkStart w:id="1" w:name="_Hlk526494110"/>
      <w:r w:rsidRPr="000D0093">
        <w:t xml:space="preserve">The RTA assistant will be </w:t>
      </w:r>
      <w:r w:rsidR="00344A5A" w:rsidRPr="000D0093">
        <w:t xml:space="preserve">hired </w:t>
      </w:r>
      <w:r w:rsidRPr="000D0093">
        <w:t xml:space="preserve">full time </w:t>
      </w:r>
      <w:bookmarkStart w:id="2" w:name="_Hlk526503103"/>
      <w:r w:rsidR="005236AF" w:rsidRPr="000D0093">
        <w:t xml:space="preserve">on a service contract </w:t>
      </w:r>
      <w:bookmarkEnd w:id="2"/>
      <w:r w:rsidRPr="000D0093">
        <w:t xml:space="preserve">and stationed in </w:t>
      </w:r>
      <w:r w:rsidR="007715AA" w:rsidRPr="007715AA">
        <w:t>Skopje</w:t>
      </w:r>
      <w:r w:rsidR="00656404">
        <w:t xml:space="preserve">. </w:t>
      </w:r>
      <w:r w:rsidR="00656404" w:rsidRPr="00656404">
        <w:t xml:space="preserve">The RTA </w:t>
      </w:r>
    </w:p>
    <w:p w:rsidR="009E239B" w:rsidRPr="00656404" w:rsidRDefault="00656404" w:rsidP="00DB218A">
      <w:pPr>
        <w:autoSpaceDE w:val="0"/>
        <w:autoSpaceDN w:val="0"/>
        <w:adjustRightInd w:val="0"/>
        <w:jc w:val="both"/>
      </w:pPr>
      <w:r w:rsidRPr="00656404">
        <w:t>A</w:t>
      </w:r>
      <w:r w:rsidR="009E239B" w:rsidRPr="00656404">
        <w:t xml:space="preserve">ssistant </w:t>
      </w:r>
      <w:r w:rsidRPr="00656404">
        <w:rPr>
          <w:b/>
        </w:rPr>
        <w:t xml:space="preserve">shall not </w:t>
      </w:r>
      <w:r w:rsidRPr="00656404">
        <w:t>have been in any contractual relation with the public sector in the Beneficiary Country, North Macedonia, during at least the 6 months preceding their hiring.</w:t>
      </w:r>
    </w:p>
    <w:bookmarkEnd w:id="1"/>
    <w:p w:rsidR="00D56B03" w:rsidRPr="000D0093" w:rsidRDefault="00D56B03" w:rsidP="00D30C3C">
      <w:pPr>
        <w:pStyle w:val="BodyText22"/>
        <w:widowControl/>
        <w:autoSpaceDE w:val="0"/>
        <w:autoSpaceDN w:val="0"/>
        <w:adjustRightInd w:val="0"/>
        <w:rPr>
          <w:rFonts w:ascii="Arial" w:hAnsi="Arial"/>
        </w:rPr>
      </w:pPr>
    </w:p>
    <w:p w:rsidR="00DB218A" w:rsidRPr="000D0093" w:rsidRDefault="00D56B03" w:rsidP="00DB218A">
      <w:pPr>
        <w:pStyle w:val="Style26"/>
        <w:ind w:right="72"/>
        <w:jc w:val="both"/>
        <w:rPr>
          <w:b/>
          <w:bCs/>
          <w:szCs w:val="24"/>
          <w:u w:val="single"/>
        </w:rPr>
      </w:pPr>
      <w:r w:rsidRPr="000D0093">
        <w:rPr>
          <w:b/>
          <w:bCs/>
          <w:szCs w:val="24"/>
          <w:u w:val="single"/>
        </w:rPr>
        <w:t>The tasks of the RTA Assistant include:</w:t>
      </w:r>
      <w:r w:rsidR="00820625" w:rsidRPr="000D0093">
        <w:rPr>
          <w:b/>
          <w:bCs/>
          <w:szCs w:val="24"/>
          <w:u w:val="single"/>
        </w:rPr>
        <w:t xml:space="preserve"> </w:t>
      </w:r>
    </w:p>
    <w:p w:rsidR="00820625" w:rsidRPr="000D0093" w:rsidRDefault="00820625" w:rsidP="00DB218A">
      <w:pPr>
        <w:pStyle w:val="Heading2"/>
        <w:numPr>
          <w:ilvl w:val="0"/>
          <w:numId w:val="3"/>
        </w:numPr>
        <w:rPr>
          <w:spacing w:val="-4"/>
          <w:sz w:val="24"/>
          <w:lang w:val="en-GB"/>
        </w:rPr>
      </w:pPr>
      <w:r w:rsidRPr="000D0093">
        <w:rPr>
          <w:spacing w:val="-4"/>
          <w:sz w:val="24"/>
          <w:lang w:val="en-GB"/>
        </w:rPr>
        <w:lastRenderedPageBreak/>
        <w:t>Assisting the RTA in the day-to-day implementation of the project</w:t>
      </w:r>
      <w:r w:rsidR="004C06AC" w:rsidRPr="000D0093">
        <w:rPr>
          <w:spacing w:val="-4"/>
          <w:sz w:val="24"/>
          <w:lang w:val="en-GB"/>
        </w:rPr>
        <w:t>;</w:t>
      </w:r>
    </w:p>
    <w:p w:rsidR="00820625" w:rsidRPr="000D0093" w:rsidRDefault="00820625" w:rsidP="00D30C3C">
      <w:pPr>
        <w:pStyle w:val="Heading2"/>
        <w:numPr>
          <w:ilvl w:val="0"/>
          <w:numId w:val="3"/>
        </w:numPr>
        <w:rPr>
          <w:spacing w:val="-4"/>
          <w:sz w:val="24"/>
          <w:lang w:val="en-GB"/>
        </w:rPr>
      </w:pPr>
      <w:r w:rsidRPr="000D0093">
        <w:rPr>
          <w:spacing w:val="-4"/>
          <w:sz w:val="24"/>
          <w:lang w:val="en-GB"/>
        </w:rPr>
        <w:t>Office management</w:t>
      </w:r>
      <w:r w:rsidR="004C06AC" w:rsidRPr="000D0093">
        <w:rPr>
          <w:spacing w:val="-4"/>
          <w:sz w:val="24"/>
          <w:lang w:val="en-GB"/>
        </w:rPr>
        <w:t>;</w:t>
      </w:r>
    </w:p>
    <w:p w:rsidR="00820625" w:rsidRPr="000D0093" w:rsidRDefault="00820625" w:rsidP="00DB218A">
      <w:pPr>
        <w:pStyle w:val="Heading2"/>
        <w:numPr>
          <w:ilvl w:val="0"/>
          <w:numId w:val="3"/>
        </w:numPr>
        <w:rPr>
          <w:spacing w:val="-4"/>
          <w:sz w:val="24"/>
          <w:lang w:val="en-GB"/>
        </w:rPr>
      </w:pPr>
      <w:r w:rsidRPr="000D0093">
        <w:rPr>
          <w:spacing w:val="-4"/>
          <w:sz w:val="24"/>
          <w:lang w:val="en-GB"/>
        </w:rPr>
        <w:t>Undertaking general administration duties required for project implementation</w:t>
      </w:r>
      <w:r w:rsidR="004C06AC" w:rsidRPr="000D0093">
        <w:rPr>
          <w:spacing w:val="-4"/>
          <w:sz w:val="24"/>
          <w:lang w:val="en-GB"/>
        </w:rPr>
        <w:t>;</w:t>
      </w:r>
    </w:p>
    <w:p w:rsidR="00820625" w:rsidRPr="000D0093" w:rsidRDefault="00820625" w:rsidP="00DB218A">
      <w:pPr>
        <w:pStyle w:val="Heading2"/>
        <w:numPr>
          <w:ilvl w:val="0"/>
          <w:numId w:val="3"/>
        </w:numPr>
        <w:rPr>
          <w:spacing w:val="-4"/>
          <w:sz w:val="24"/>
          <w:lang w:val="en-GB"/>
        </w:rPr>
      </w:pPr>
      <w:r w:rsidRPr="000D0093">
        <w:rPr>
          <w:spacing w:val="-4"/>
          <w:sz w:val="24"/>
          <w:lang w:val="en-GB"/>
        </w:rPr>
        <w:t>Maintaining close working relationships and dialogue with BC administration and counterparts</w:t>
      </w:r>
      <w:r w:rsidR="004C06AC" w:rsidRPr="000D0093">
        <w:rPr>
          <w:spacing w:val="-4"/>
          <w:sz w:val="24"/>
          <w:lang w:val="en-GB"/>
        </w:rPr>
        <w:t>;</w:t>
      </w:r>
    </w:p>
    <w:p w:rsidR="00820625" w:rsidRPr="000D0093" w:rsidRDefault="00820625" w:rsidP="00DB218A">
      <w:pPr>
        <w:pStyle w:val="Heading2"/>
        <w:numPr>
          <w:ilvl w:val="0"/>
          <w:numId w:val="3"/>
        </w:numPr>
        <w:rPr>
          <w:spacing w:val="-4"/>
          <w:sz w:val="24"/>
          <w:lang w:val="en-GB"/>
        </w:rPr>
      </w:pPr>
      <w:r w:rsidRPr="000D0093">
        <w:rPr>
          <w:spacing w:val="-4"/>
          <w:sz w:val="24"/>
          <w:lang w:val="en-GB"/>
        </w:rPr>
        <w:t>Maintaining filing systems and arranging for the exchange of information between project participants;</w:t>
      </w:r>
    </w:p>
    <w:p w:rsidR="00820625" w:rsidRPr="000D0093" w:rsidRDefault="00820625" w:rsidP="00DB218A">
      <w:pPr>
        <w:pStyle w:val="Heading2"/>
        <w:numPr>
          <w:ilvl w:val="0"/>
          <w:numId w:val="3"/>
        </w:numPr>
        <w:rPr>
          <w:spacing w:val="-4"/>
          <w:sz w:val="24"/>
          <w:lang w:val="en-GB"/>
        </w:rPr>
      </w:pPr>
      <w:r w:rsidRPr="000D0093">
        <w:rPr>
          <w:spacing w:val="-4"/>
          <w:sz w:val="24"/>
          <w:lang w:val="en-GB"/>
        </w:rPr>
        <w:t>Taking care of mission preparations and filing mission reports, time sheets and mission certificates</w:t>
      </w:r>
    </w:p>
    <w:p w:rsidR="00820625" w:rsidRPr="000D0093" w:rsidRDefault="00820625" w:rsidP="00DB218A">
      <w:pPr>
        <w:pStyle w:val="Heading2"/>
        <w:numPr>
          <w:ilvl w:val="0"/>
          <w:numId w:val="3"/>
        </w:numPr>
        <w:rPr>
          <w:spacing w:val="-4"/>
          <w:sz w:val="24"/>
          <w:lang w:val="en-GB"/>
        </w:rPr>
      </w:pPr>
      <w:r w:rsidRPr="000D0093">
        <w:rPr>
          <w:spacing w:val="-4"/>
          <w:sz w:val="24"/>
          <w:lang w:val="en-GB"/>
        </w:rPr>
        <w:t>Organization of seminars, training events, meetings and other visits out of</w:t>
      </w:r>
      <w:r w:rsidR="009672FE">
        <w:rPr>
          <w:spacing w:val="-4"/>
          <w:sz w:val="24"/>
          <w:lang w:val="en-GB"/>
        </w:rPr>
        <w:t xml:space="preserve"> </w:t>
      </w:r>
      <w:r w:rsidR="007715AA" w:rsidRPr="007715AA">
        <w:rPr>
          <w:spacing w:val="-4"/>
          <w:sz w:val="24"/>
          <w:lang w:val="en-GB"/>
        </w:rPr>
        <w:t>North Macedonia</w:t>
      </w:r>
      <w:r w:rsidR="004C06AC" w:rsidRPr="000D0093">
        <w:rPr>
          <w:spacing w:val="-4"/>
          <w:sz w:val="24"/>
          <w:lang w:val="en-GB"/>
        </w:rPr>
        <w:t>;</w:t>
      </w:r>
    </w:p>
    <w:p w:rsidR="00820625" w:rsidRPr="000D0093" w:rsidRDefault="00820625" w:rsidP="00DB218A">
      <w:pPr>
        <w:pStyle w:val="Heading2"/>
        <w:numPr>
          <w:ilvl w:val="0"/>
          <w:numId w:val="3"/>
        </w:numPr>
        <w:rPr>
          <w:spacing w:val="-4"/>
          <w:sz w:val="24"/>
          <w:lang w:val="en-GB"/>
        </w:rPr>
      </w:pPr>
      <w:r w:rsidRPr="000D0093">
        <w:rPr>
          <w:spacing w:val="-4"/>
          <w:sz w:val="24"/>
          <w:lang w:val="en-GB"/>
        </w:rPr>
        <w:t>Preparation of quarterly Project Steering Committee Meetings including preparation of Quarter Interim Reports</w:t>
      </w:r>
      <w:r w:rsidR="004C06AC" w:rsidRPr="000D0093">
        <w:rPr>
          <w:spacing w:val="-4"/>
          <w:sz w:val="24"/>
          <w:lang w:val="en-GB"/>
        </w:rPr>
        <w:t>;</w:t>
      </w:r>
    </w:p>
    <w:p w:rsidR="00820625" w:rsidRPr="000D0093" w:rsidRDefault="00820625" w:rsidP="00DB218A">
      <w:pPr>
        <w:pStyle w:val="Heading2"/>
        <w:numPr>
          <w:ilvl w:val="0"/>
          <w:numId w:val="3"/>
        </w:numPr>
        <w:rPr>
          <w:spacing w:val="-4"/>
          <w:sz w:val="24"/>
          <w:lang w:val="en-GB"/>
        </w:rPr>
      </w:pPr>
      <w:r w:rsidRPr="000D0093">
        <w:rPr>
          <w:spacing w:val="-4"/>
          <w:sz w:val="24"/>
          <w:lang w:val="en-GB"/>
        </w:rPr>
        <w:t>Acting as translator/interpreter, when necessary</w:t>
      </w:r>
      <w:r w:rsidR="00211307" w:rsidRPr="000D0093">
        <w:rPr>
          <w:spacing w:val="-4"/>
          <w:sz w:val="24"/>
          <w:lang w:val="en-GB"/>
        </w:rPr>
        <w:t>.</w:t>
      </w:r>
    </w:p>
    <w:p w:rsidR="00D56B03" w:rsidRPr="000D0093" w:rsidRDefault="00D56B03" w:rsidP="00DB218A">
      <w:pPr>
        <w:autoSpaceDE w:val="0"/>
        <w:autoSpaceDN w:val="0"/>
        <w:adjustRightInd w:val="0"/>
        <w:jc w:val="both"/>
        <w:rPr>
          <w:u w:val="single"/>
        </w:rPr>
      </w:pPr>
    </w:p>
    <w:p w:rsidR="00D56B03" w:rsidRPr="000D0093" w:rsidRDefault="00D56B03" w:rsidP="00DB218A">
      <w:pPr>
        <w:pStyle w:val="Style26"/>
        <w:ind w:right="72"/>
        <w:jc w:val="both"/>
        <w:rPr>
          <w:spacing w:val="-4"/>
          <w:lang w:val="en-GB"/>
        </w:rPr>
      </w:pPr>
      <w:r w:rsidRPr="000D0093">
        <w:rPr>
          <w:spacing w:val="-4"/>
          <w:lang w:val="en-GB"/>
        </w:rPr>
        <w:t>The RTA Assistant will be recruited in accordance with the following selection criteria:</w:t>
      </w:r>
    </w:p>
    <w:p w:rsidR="00D56B03" w:rsidRPr="000D0093" w:rsidRDefault="00D56B03" w:rsidP="00DB218A">
      <w:pPr>
        <w:pStyle w:val="Style26"/>
        <w:ind w:left="360" w:right="72"/>
        <w:jc w:val="both"/>
        <w:rPr>
          <w:spacing w:val="-4"/>
          <w:lang w:val="en-GB"/>
        </w:rPr>
      </w:pPr>
    </w:p>
    <w:p w:rsidR="00D56B03" w:rsidRPr="000D0093" w:rsidRDefault="00D56B03" w:rsidP="00DB218A">
      <w:pPr>
        <w:pStyle w:val="Style26"/>
        <w:ind w:right="72"/>
        <w:jc w:val="both"/>
        <w:rPr>
          <w:b/>
          <w:bCs/>
          <w:szCs w:val="24"/>
          <w:u w:val="single"/>
          <w:lang w:val="en-GB"/>
        </w:rPr>
      </w:pPr>
      <w:r w:rsidRPr="000D0093">
        <w:rPr>
          <w:b/>
          <w:bCs/>
          <w:szCs w:val="24"/>
          <w:u w:val="single"/>
          <w:lang w:val="en-GB"/>
        </w:rPr>
        <w:t>Required skills and experience:</w:t>
      </w:r>
    </w:p>
    <w:p w:rsidR="00EC5802" w:rsidRPr="000D0093" w:rsidRDefault="00EC5802" w:rsidP="00FE35CD">
      <w:pPr>
        <w:pStyle w:val="Heading2"/>
        <w:numPr>
          <w:ilvl w:val="0"/>
          <w:numId w:val="3"/>
        </w:numPr>
        <w:rPr>
          <w:spacing w:val="-4"/>
          <w:sz w:val="24"/>
          <w:szCs w:val="24"/>
          <w:lang w:val="en-GB"/>
        </w:rPr>
      </w:pPr>
      <w:r w:rsidRPr="000D0093">
        <w:rPr>
          <w:spacing w:val="-4"/>
          <w:sz w:val="24"/>
          <w:szCs w:val="24"/>
          <w:lang w:val="en-GB"/>
        </w:rPr>
        <w:t>Preferably University Degree</w:t>
      </w:r>
      <w:r w:rsidR="008307E5">
        <w:rPr>
          <w:spacing w:val="-4"/>
          <w:sz w:val="24"/>
          <w:szCs w:val="24"/>
          <w:lang w:val="en-GB"/>
        </w:rPr>
        <w:t xml:space="preserve"> </w:t>
      </w:r>
      <w:r w:rsidR="008307E5">
        <w:rPr>
          <w:iCs/>
          <w:spacing w:val="-4"/>
          <w:lang w:val="en-US"/>
        </w:rPr>
        <w:t>(</w:t>
      </w:r>
      <w:r w:rsidR="008307E5" w:rsidRPr="002B0E39">
        <w:rPr>
          <w:szCs w:val="22"/>
        </w:rPr>
        <w:t xml:space="preserve">VII/1 </w:t>
      </w:r>
      <w:r w:rsidR="008307E5">
        <w:rPr>
          <w:szCs w:val="22"/>
        </w:rPr>
        <w:t xml:space="preserve">or </w:t>
      </w:r>
      <w:r w:rsidR="008307E5" w:rsidRPr="002B0E39">
        <w:rPr>
          <w:szCs w:val="22"/>
        </w:rPr>
        <w:t xml:space="preserve">240 </w:t>
      </w:r>
      <w:r w:rsidR="008307E5">
        <w:rPr>
          <w:szCs w:val="22"/>
        </w:rPr>
        <w:t>credits</w:t>
      </w:r>
      <w:r w:rsidR="008307E5" w:rsidRPr="002B0E39">
        <w:rPr>
          <w:szCs w:val="22"/>
        </w:rPr>
        <w:t xml:space="preserve"> </w:t>
      </w:r>
      <w:r w:rsidR="008307E5">
        <w:rPr>
          <w:szCs w:val="22"/>
        </w:rPr>
        <w:t>according to ECTS)</w:t>
      </w:r>
      <w:r w:rsidR="008307E5" w:rsidRPr="002B0E39">
        <w:rPr>
          <w:szCs w:val="22"/>
          <w:lang w:val="mk-MK"/>
        </w:rPr>
        <w:t>,</w:t>
      </w:r>
      <w:r w:rsidR="008307E5" w:rsidRPr="00482982">
        <w:rPr>
          <w:iCs/>
          <w:spacing w:val="-4"/>
        </w:rPr>
        <w:t xml:space="preserve"> </w:t>
      </w:r>
      <w:r w:rsidRPr="000D0093">
        <w:rPr>
          <w:spacing w:val="-4"/>
          <w:sz w:val="24"/>
          <w:szCs w:val="24"/>
          <w:lang w:val="en-GB"/>
        </w:rPr>
        <w:t xml:space="preserve">in </w:t>
      </w:r>
      <w:r w:rsidR="00BE0890">
        <w:rPr>
          <w:spacing w:val="-4"/>
          <w:sz w:val="24"/>
          <w:szCs w:val="24"/>
          <w:lang w:val="en-GB"/>
        </w:rPr>
        <w:t>Political Science</w:t>
      </w:r>
      <w:r w:rsidR="0055440B" w:rsidRPr="000D0093">
        <w:rPr>
          <w:spacing w:val="-4"/>
          <w:sz w:val="24"/>
          <w:szCs w:val="24"/>
          <w:lang w:val="en-GB"/>
        </w:rPr>
        <w:t xml:space="preserve">, </w:t>
      </w:r>
      <w:r w:rsidR="00BE0890">
        <w:rPr>
          <w:spacing w:val="-4"/>
          <w:sz w:val="24"/>
          <w:szCs w:val="24"/>
          <w:lang w:val="en-GB"/>
        </w:rPr>
        <w:t>Social Sciences</w:t>
      </w:r>
      <w:r w:rsidR="0055440B" w:rsidRPr="000D0093">
        <w:rPr>
          <w:spacing w:val="-4"/>
          <w:sz w:val="24"/>
          <w:szCs w:val="24"/>
          <w:lang w:val="en-GB"/>
        </w:rPr>
        <w:t xml:space="preserve"> or any other discipline relevant for the position</w:t>
      </w:r>
      <w:r w:rsidR="00FE35CD" w:rsidRPr="000D0093">
        <w:rPr>
          <w:spacing w:val="-4"/>
          <w:sz w:val="24"/>
          <w:szCs w:val="24"/>
          <w:lang w:val="en-GB"/>
        </w:rPr>
        <w:t>;</w:t>
      </w:r>
    </w:p>
    <w:p w:rsidR="0055440B" w:rsidRPr="000D0093" w:rsidRDefault="0055440B" w:rsidP="00FE35CD">
      <w:pPr>
        <w:numPr>
          <w:ilvl w:val="0"/>
          <w:numId w:val="3"/>
        </w:numPr>
        <w:jc w:val="both"/>
        <w:rPr>
          <w:spacing w:val="-4"/>
          <w:lang w:eastAsia="en-US"/>
        </w:rPr>
      </w:pPr>
      <w:r w:rsidRPr="000D0093">
        <w:rPr>
          <w:spacing w:val="-4"/>
          <w:lang w:eastAsia="en-US"/>
        </w:rPr>
        <w:t xml:space="preserve">Fluent in spoken and </w:t>
      </w:r>
      <w:r w:rsidRPr="005254B0">
        <w:rPr>
          <w:spacing w:val="-4"/>
          <w:lang w:eastAsia="en-US"/>
        </w:rPr>
        <w:t xml:space="preserve">written </w:t>
      </w:r>
      <w:r w:rsidR="009B517B" w:rsidRPr="005254B0">
        <w:t>Macedonian</w:t>
      </w:r>
      <w:r w:rsidRPr="005254B0">
        <w:rPr>
          <w:spacing w:val="-4"/>
          <w:lang w:eastAsia="en-US"/>
        </w:rPr>
        <w:t xml:space="preserve"> with</w:t>
      </w:r>
      <w:r w:rsidRPr="000D0093">
        <w:rPr>
          <w:spacing w:val="-4"/>
          <w:lang w:eastAsia="en-US"/>
        </w:rPr>
        <w:t xml:space="preserve"> an excellent command of written and spoken English</w:t>
      </w:r>
      <w:r w:rsidR="005254B0">
        <w:rPr>
          <w:spacing w:val="-4"/>
          <w:lang w:eastAsia="en-US"/>
        </w:rPr>
        <w:t>;</w:t>
      </w:r>
    </w:p>
    <w:p w:rsidR="00EC5802" w:rsidRPr="000D0093" w:rsidRDefault="00EC5802" w:rsidP="00FE35CD">
      <w:pPr>
        <w:pStyle w:val="Heading2"/>
        <w:numPr>
          <w:ilvl w:val="0"/>
          <w:numId w:val="3"/>
        </w:numPr>
        <w:rPr>
          <w:spacing w:val="-4"/>
          <w:sz w:val="24"/>
          <w:szCs w:val="24"/>
          <w:lang w:val="en-GB"/>
        </w:rPr>
      </w:pPr>
      <w:r w:rsidRPr="000D0093">
        <w:rPr>
          <w:spacing w:val="-4"/>
          <w:sz w:val="24"/>
          <w:szCs w:val="24"/>
          <w:lang w:val="en-GB"/>
        </w:rPr>
        <w:t>Practical experienced in day-to-day provision of translation and interpretation support to international advisors / experts</w:t>
      </w:r>
      <w:r w:rsidR="00FE35CD" w:rsidRPr="000D0093">
        <w:rPr>
          <w:spacing w:val="-4"/>
          <w:sz w:val="24"/>
          <w:szCs w:val="24"/>
          <w:lang w:val="en-GB"/>
        </w:rPr>
        <w:t>;</w:t>
      </w:r>
    </w:p>
    <w:p w:rsidR="00EC5802" w:rsidRPr="000D0093" w:rsidRDefault="00EC5802" w:rsidP="00FE35CD">
      <w:pPr>
        <w:pStyle w:val="Heading2"/>
        <w:numPr>
          <w:ilvl w:val="0"/>
          <w:numId w:val="3"/>
        </w:numPr>
        <w:rPr>
          <w:spacing w:val="-4"/>
          <w:sz w:val="24"/>
          <w:szCs w:val="24"/>
          <w:lang w:val="en-GB"/>
        </w:rPr>
      </w:pPr>
      <w:r w:rsidRPr="000D0093">
        <w:rPr>
          <w:spacing w:val="-4"/>
          <w:sz w:val="24"/>
          <w:szCs w:val="24"/>
          <w:lang w:val="en-GB"/>
        </w:rPr>
        <w:t>Proven experience in office management and project administration</w:t>
      </w:r>
      <w:r w:rsidR="00FE35CD" w:rsidRPr="000D0093">
        <w:rPr>
          <w:spacing w:val="-4"/>
          <w:sz w:val="24"/>
          <w:szCs w:val="24"/>
          <w:lang w:val="en-GB"/>
        </w:rPr>
        <w:t>;</w:t>
      </w:r>
    </w:p>
    <w:p w:rsidR="00EC5802" w:rsidRPr="000D0093" w:rsidRDefault="00EC5802" w:rsidP="00FE35CD">
      <w:pPr>
        <w:pStyle w:val="Heading2"/>
        <w:numPr>
          <w:ilvl w:val="0"/>
          <w:numId w:val="3"/>
        </w:numPr>
        <w:rPr>
          <w:spacing w:val="-4"/>
          <w:sz w:val="24"/>
          <w:szCs w:val="24"/>
          <w:lang w:val="en-GB"/>
        </w:rPr>
      </w:pPr>
      <w:r w:rsidRPr="000D0093">
        <w:rPr>
          <w:spacing w:val="-4"/>
          <w:sz w:val="24"/>
          <w:szCs w:val="24"/>
          <w:lang w:val="en-GB"/>
        </w:rPr>
        <w:t>Experience of international donor funded projects, for example: EU funded projects, such as Twinning projects would be an advantage</w:t>
      </w:r>
      <w:r w:rsidR="00FE35CD" w:rsidRPr="000D0093">
        <w:rPr>
          <w:spacing w:val="-4"/>
          <w:sz w:val="24"/>
          <w:szCs w:val="24"/>
          <w:lang w:val="en-GB"/>
        </w:rPr>
        <w:t>;</w:t>
      </w:r>
    </w:p>
    <w:p w:rsidR="00EC5802" w:rsidRPr="000D0093" w:rsidRDefault="00EC5802" w:rsidP="00FE35CD">
      <w:pPr>
        <w:pStyle w:val="Heading2"/>
        <w:numPr>
          <w:ilvl w:val="0"/>
          <w:numId w:val="3"/>
        </w:numPr>
        <w:rPr>
          <w:spacing w:val="-4"/>
          <w:sz w:val="24"/>
          <w:szCs w:val="24"/>
          <w:lang w:val="en-GB"/>
        </w:rPr>
      </w:pPr>
      <w:r w:rsidRPr="000D0093">
        <w:rPr>
          <w:spacing w:val="-4"/>
          <w:sz w:val="24"/>
          <w:szCs w:val="24"/>
          <w:lang w:val="en-GB"/>
        </w:rPr>
        <w:t>Excellent Computer skills (MS Word, Excel, Internet, etc.)</w:t>
      </w:r>
      <w:r w:rsidR="00FE35CD" w:rsidRPr="000D0093">
        <w:rPr>
          <w:spacing w:val="-4"/>
          <w:sz w:val="24"/>
          <w:szCs w:val="24"/>
          <w:lang w:val="en-GB"/>
        </w:rPr>
        <w:t>;</w:t>
      </w:r>
    </w:p>
    <w:p w:rsidR="00EC5802" w:rsidRPr="000D0093" w:rsidRDefault="00EC5802" w:rsidP="00FE35CD">
      <w:pPr>
        <w:pStyle w:val="Heading2"/>
        <w:numPr>
          <w:ilvl w:val="0"/>
          <w:numId w:val="3"/>
        </w:numPr>
        <w:rPr>
          <w:spacing w:val="-4"/>
          <w:sz w:val="24"/>
          <w:szCs w:val="24"/>
          <w:lang w:val="en-GB"/>
        </w:rPr>
      </w:pPr>
      <w:r w:rsidRPr="000D0093">
        <w:rPr>
          <w:spacing w:val="-4"/>
          <w:sz w:val="24"/>
          <w:szCs w:val="24"/>
          <w:lang w:val="en-GB"/>
        </w:rPr>
        <w:t>Excellent organisational skills</w:t>
      </w:r>
      <w:r w:rsidR="00FE35CD" w:rsidRPr="000D0093">
        <w:rPr>
          <w:spacing w:val="-4"/>
          <w:sz w:val="24"/>
          <w:szCs w:val="24"/>
          <w:lang w:val="en-GB"/>
        </w:rPr>
        <w:t>;</w:t>
      </w:r>
    </w:p>
    <w:p w:rsidR="00EC5802" w:rsidRPr="000D0093" w:rsidRDefault="00EC5802" w:rsidP="00FE35CD">
      <w:pPr>
        <w:pStyle w:val="Heading2"/>
        <w:numPr>
          <w:ilvl w:val="0"/>
          <w:numId w:val="3"/>
        </w:numPr>
        <w:rPr>
          <w:spacing w:val="-4"/>
          <w:sz w:val="24"/>
          <w:szCs w:val="24"/>
          <w:lang w:val="en-GB"/>
        </w:rPr>
      </w:pPr>
      <w:r w:rsidRPr="000D0093">
        <w:rPr>
          <w:spacing w:val="-4"/>
          <w:sz w:val="24"/>
          <w:szCs w:val="24"/>
          <w:lang w:val="en-GB"/>
        </w:rPr>
        <w:t>Excellent inter-personal and communication skills</w:t>
      </w:r>
      <w:r w:rsidR="00FE35CD" w:rsidRPr="000D0093">
        <w:rPr>
          <w:spacing w:val="-4"/>
          <w:sz w:val="24"/>
          <w:szCs w:val="24"/>
          <w:lang w:val="en-GB"/>
        </w:rPr>
        <w:t>.</w:t>
      </w:r>
    </w:p>
    <w:p w:rsidR="00D56B03" w:rsidRPr="005F670D" w:rsidRDefault="00D56B03" w:rsidP="00DB218A">
      <w:pPr>
        <w:jc w:val="both"/>
        <w:rPr>
          <w:highlight w:val="yellow"/>
        </w:rPr>
      </w:pPr>
    </w:p>
    <w:p w:rsidR="009E239B" w:rsidRDefault="00D56B03" w:rsidP="00DB218A">
      <w:pPr>
        <w:jc w:val="both"/>
      </w:pPr>
      <w:bookmarkStart w:id="3" w:name="_Hlk40082414"/>
      <w:r w:rsidRPr="000D0093">
        <w:t xml:space="preserve">Candidates should send a copy of their CV </w:t>
      </w:r>
      <w:r w:rsidR="00D30C3C" w:rsidRPr="000D0093">
        <w:rPr>
          <w:lang w:val="lt-LT" w:eastAsia="lt-LT"/>
        </w:rPr>
        <w:t>(</w:t>
      </w:r>
      <w:r w:rsidR="00D30C3C" w:rsidRPr="000D0093">
        <w:rPr>
          <w:lang w:eastAsia="lt-LT"/>
        </w:rPr>
        <w:t>in Europass format</w:t>
      </w:r>
      <w:r w:rsidR="00D30C3C" w:rsidRPr="000D0093">
        <w:rPr>
          <w:lang w:val="lt-LT" w:eastAsia="lt-LT"/>
        </w:rPr>
        <w:t xml:space="preserve">) </w:t>
      </w:r>
      <w:r w:rsidRPr="000D0093">
        <w:t xml:space="preserve">with a cover letter in English, by e-mail to </w:t>
      </w:r>
      <w:hyperlink r:id="rId13" w:history="1">
        <w:r w:rsidR="00677C16" w:rsidRPr="000D0093">
          <w:rPr>
            <w:rStyle w:val="Hyperlink"/>
          </w:rPr>
          <w:t>indrija.askeloviciene@esf.lt</w:t>
        </w:r>
      </w:hyperlink>
      <w:r w:rsidR="00912005" w:rsidRPr="000D0093">
        <w:t xml:space="preserve"> </w:t>
      </w:r>
      <w:r w:rsidR="00DB218A" w:rsidRPr="000D0093">
        <w:t>marked “</w:t>
      </w:r>
      <w:r w:rsidR="00DA261F" w:rsidRPr="000D0093">
        <w:t>RTA Assistant</w:t>
      </w:r>
      <w:r w:rsidR="00DB218A" w:rsidRPr="000D0093">
        <w:t>”</w:t>
      </w:r>
      <w:r w:rsidR="00DA261F" w:rsidRPr="000D0093">
        <w:t xml:space="preserve"> </w:t>
      </w:r>
      <w:bookmarkStart w:id="4" w:name="_Hlk45805546"/>
      <w:r w:rsidR="00DA261F" w:rsidRPr="005254B0">
        <w:rPr>
          <w:b/>
          <w:u w:val="single"/>
        </w:rPr>
        <w:t xml:space="preserve">by </w:t>
      </w:r>
      <w:bookmarkStart w:id="5" w:name="_Hlk526502898"/>
      <w:r w:rsidR="0005043C">
        <w:rPr>
          <w:b/>
          <w:u w:val="single"/>
        </w:rPr>
        <w:t>2</w:t>
      </w:r>
      <w:r w:rsidR="0034552F">
        <w:rPr>
          <w:b/>
          <w:u w:val="single"/>
          <w:lang w:val="mk-MK"/>
        </w:rPr>
        <w:t>2</w:t>
      </w:r>
      <w:r w:rsidR="008F0C39" w:rsidRPr="005254B0">
        <w:rPr>
          <w:b/>
          <w:u w:val="single"/>
        </w:rPr>
        <w:t xml:space="preserve"> </w:t>
      </w:r>
      <w:r w:rsidR="005B6BED" w:rsidRPr="005254B0">
        <w:rPr>
          <w:b/>
          <w:u w:val="single"/>
        </w:rPr>
        <w:t xml:space="preserve">of </w:t>
      </w:r>
      <w:r w:rsidR="005254B0" w:rsidRPr="005254B0">
        <w:rPr>
          <w:b/>
          <w:u w:val="single"/>
        </w:rPr>
        <w:t>October</w:t>
      </w:r>
      <w:r w:rsidR="008F0C39" w:rsidRPr="005254B0">
        <w:rPr>
          <w:b/>
          <w:u w:val="single"/>
        </w:rPr>
        <w:t xml:space="preserve"> </w:t>
      </w:r>
      <w:bookmarkEnd w:id="4"/>
      <w:bookmarkEnd w:id="5"/>
      <w:r w:rsidR="00DA261F" w:rsidRPr="005254B0">
        <w:rPr>
          <w:b/>
          <w:u w:val="single"/>
        </w:rPr>
        <w:t>20</w:t>
      </w:r>
      <w:r w:rsidR="005F670D" w:rsidRPr="005254B0">
        <w:rPr>
          <w:b/>
          <w:u w:val="single"/>
        </w:rPr>
        <w:t>2</w:t>
      </w:r>
      <w:r w:rsidR="007715AA" w:rsidRPr="005254B0">
        <w:rPr>
          <w:b/>
          <w:u w:val="single"/>
        </w:rPr>
        <w:t>1</w:t>
      </w:r>
      <w:r w:rsidR="00DA261F" w:rsidRPr="000D0093">
        <w:t>.</w:t>
      </w:r>
      <w:r w:rsidR="009E239B" w:rsidRPr="000D0093">
        <w:t xml:space="preserve"> Short listed candidates will be invited for an interview.</w:t>
      </w:r>
    </w:p>
    <w:bookmarkEnd w:id="3"/>
    <w:p w:rsidR="00D30C3C" w:rsidRDefault="00D30C3C" w:rsidP="00DB218A">
      <w:pPr>
        <w:jc w:val="both"/>
      </w:pPr>
    </w:p>
    <w:p w:rsidR="00D30C3C" w:rsidRPr="005B7C06" w:rsidRDefault="00D30C3C" w:rsidP="00DB218A">
      <w:pPr>
        <w:autoSpaceDE w:val="0"/>
        <w:autoSpaceDN w:val="0"/>
        <w:adjustRightInd w:val="0"/>
        <w:jc w:val="both"/>
        <w:rPr>
          <w:lang w:eastAsia="lt-LT"/>
        </w:rPr>
      </w:pPr>
      <w:r w:rsidRPr="005B7C06">
        <w:rPr>
          <w:lang w:eastAsia="lt-LT"/>
        </w:rPr>
        <w:t>The following documents should be annexed in scanned versions to the application:</w:t>
      </w:r>
    </w:p>
    <w:p w:rsidR="00D30C3C" w:rsidRPr="00DB218A" w:rsidRDefault="00D30C3C" w:rsidP="00DB218A">
      <w:pPr>
        <w:pStyle w:val="Heading2"/>
        <w:numPr>
          <w:ilvl w:val="0"/>
          <w:numId w:val="3"/>
        </w:numPr>
        <w:rPr>
          <w:spacing w:val="-4"/>
          <w:sz w:val="24"/>
          <w:lang w:val="en-GB"/>
        </w:rPr>
      </w:pPr>
      <w:r w:rsidRPr="00DB218A">
        <w:rPr>
          <w:spacing w:val="-4"/>
          <w:sz w:val="24"/>
          <w:lang w:val="en-GB"/>
        </w:rPr>
        <w:t>Certificate on educational qualification</w:t>
      </w:r>
      <w:r w:rsidR="00FC378E">
        <w:rPr>
          <w:spacing w:val="-4"/>
          <w:sz w:val="24"/>
          <w:lang w:val="en-GB"/>
        </w:rPr>
        <w:t>;</w:t>
      </w:r>
    </w:p>
    <w:p w:rsidR="00D30C3C" w:rsidRPr="00DB218A" w:rsidRDefault="00D30C3C" w:rsidP="00DB218A">
      <w:pPr>
        <w:pStyle w:val="Heading2"/>
        <w:numPr>
          <w:ilvl w:val="0"/>
          <w:numId w:val="3"/>
        </w:numPr>
        <w:rPr>
          <w:spacing w:val="-4"/>
          <w:sz w:val="24"/>
          <w:lang w:val="en-GB"/>
        </w:rPr>
      </w:pPr>
      <w:r w:rsidRPr="00DB218A">
        <w:rPr>
          <w:spacing w:val="-4"/>
          <w:sz w:val="24"/>
          <w:lang w:val="en-GB"/>
        </w:rPr>
        <w:t>Certificate of language knowledge (if it is available)</w:t>
      </w:r>
      <w:r w:rsidR="00FC378E">
        <w:rPr>
          <w:spacing w:val="-4"/>
          <w:sz w:val="24"/>
          <w:lang w:val="en-GB"/>
        </w:rPr>
        <w:t>;</w:t>
      </w:r>
    </w:p>
    <w:p w:rsidR="00D30C3C" w:rsidRPr="00DB218A" w:rsidRDefault="00D30C3C" w:rsidP="00DB218A">
      <w:pPr>
        <w:pStyle w:val="Heading2"/>
        <w:numPr>
          <w:ilvl w:val="0"/>
          <w:numId w:val="3"/>
        </w:numPr>
        <w:rPr>
          <w:spacing w:val="-4"/>
          <w:sz w:val="24"/>
          <w:lang w:val="en-GB"/>
        </w:rPr>
      </w:pPr>
      <w:r w:rsidRPr="00DB218A">
        <w:rPr>
          <w:spacing w:val="-4"/>
          <w:sz w:val="24"/>
          <w:lang w:val="en-GB"/>
        </w:rPr>
        <w:t>References from previous employer(s) if it is available</w:t>
      </w:r>
      <w:r w:rsidR="00FC378E">
        <w:rPr>
          <w:spacing w:val="-4"/>
          <w:sz w:val="24"/>
          <w:lang w:val="en-GB"/>
        </w:rPr>
        <w:t>.</w:t>
      </w:r>
    </w:p>
    <w:p w:rsidR="00D56B03" w:rsidRPr="00DB218A" w:rsidRDefault="00D56B03">
      <w:pPr>
        <w:jc w:val="both"/>
      </w:pPr>
    </w:p>
    <w:p w:rsidR="00603547" w:rsidRPr="00D30C3C" w:rsidRDefault="00603547" w:rsidP="00603547"/>
    <w:p w:rsidR="00603547" w:rsidRPr="00DB218A" w:rsidRDefault="008307E5" w:rsidP="00DB218A">
      <w:pPr>
        <w:rPr>
          <w:sz w:val="20"/>
          <w:szCs w:val="20"/>
        </w:rPr>
      </w:pPr>
      <w:r>
        <w:rPr>
          <w:noProof/>
          <w:lang w:val="mk-MK" w:eastAsia="mk-MK"/>
        </w:rPr>
        <w:drawing>
          <wp:inline distT="0" distB="0" distL="0" distR="0">
            <wp:extent cx="784860" cy="493395"/>
            <wp:effectExtent l="1905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493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B218A">
        <w:t xml:space="preserve">  </w:t>
      </w:r>
      <w:r w:rsidR="00603547" w:rsidRPr="00121CE3">
        <w:rPr>
          <w:b/>
          <w:sz w:val="20"/>
          <w:szCs w:val="20"/>
        </w:rPr>
        <w:t>This project is funded by the European Union</w:t>
      </w:r>
    </w:p>
    <w:sectPr w:rsidR="00603547" w:rsidRPr="00DB218A" w:rsidSect="00D92C35">
      <w:footerReference w:type="default" r:id="rId15"/>
      <w:pgSz w:w="11906" w:h="16838"/>
      <w:pgMar w:top="1258" w:right="849" w:bottom="107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73D4" w:rsidRDefault="00A473D4">
      <w:r>
        <w:separator/>
      </w:r>
    </w:p>
  </w:endnote>
  <w:endnote w:type="continuationSeparator" w:id="1">
    <w:p w:rsidR="00A473D4" w:rsidRDefault="00A473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6B03" w:rsidRDefault="00D56B03">
    <w:pPr>
      <w:ind w:left="540"/>
      <w:rPr>
        <w:i/>
        <w:color w:val="003366"/>
        <w:sz w:val="16"/>
        <w:szCs w:val="16"/>
      </w:rPr>
    </w:pPr>
  </w:p>
  <w:p w:rsidR="00D56B03" w:rsidRDefault="00D56B03">
    <w:pPr>
      <w:ind w:left="540"/>
      <w:jc w:val="both"/>
      <w:rPr>
        <w:i/>
        <w:color w:val="003366"/>
        <w:sz w:val="16"/>
        <w:szCs w:val="16"/>
      </w:rPr>
    </w:pPr>
  </w:p>
  <w:p w:rsidR="00D56B03" w:rsidRDefault="00D56B0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73D4" w:rsidRDefault="00A473D4">
      <w:r>
        <w:separator/>
      </w:r>
    </w:p>
  </w:footnote>
  <w:footnote w:type="continuationSeparator" w:id="1">
    <w:p w:rsidR="00A473D4" w:rsidRDefault="00A473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D4C64"/>
    <w:multiLevelType w:val="hybridMultilevel"/>
    <w:tmpl w:val="F3604A9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FD95823"/>
    <w:multiLevelType w:val="hybridMultilevel"/>
    <w:tmpl w:val="0310D6F0"/>
    <w:lvl w:ilvl="0" w:tplc="3418DF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384ED4"/>
    <w:multiLevelType w:val="multilevel"/>
    <w:tmpl w:val="A31AC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DD2526B"/>
    <w:multiLevelType w:val="multilevel"/>
    <w:tmpl w:val="527CF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C0F2353"/>
    <w:multiLevelType w:val="hybridMultilevel"/>
    <w:tmpl w:val="A1281102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trackRevisions/>
  <w:defaultTabStop w:val="720"/>
  <w:noPunctuationKerning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C4658D"/>
    <w:rsid w:val="0002055F"/>
    <w:rsid w:val="00034CBA"/>
    <w:rsid w:val="0005043C"/>
    <w:rsid w:val="0005424C"/>
    <w:rsid w:val="00087AB9"/>
    <w:rsid w:val="000A5803"/>
    <w:rsid w:val="000D0093"/>
    <w:rsid w:val="000D5550"/>
    <w:rsid w:val="00121CE3"/>
    <w:rsid w:val="0013046C"/>
    <w:rsid w:val="0015322F"/>
    <w:rsid w:val="00157024"/>
    <w:rsid w:val="001E7651"/>
    <w:rsid w:val="001F4D4D"/>
    <w:rsid w:val="00211307"/>
    <w:rsid w:val="00233EDD"/>
    <w:rsid w:val="00255A74"/>
    <w:rsid w:val="00270939"/>
    <w:rsid w:val="003067D7"/>
    <w:rsid w:val="00344A5A"/>
    <w:rsid w:val="0034552F"/>
    <w:rsid w:val="0037773B"/>
    <w:rsid w:val="003C50B0"/>
    <w:rsid w:val="0040653F"/>
    <w:rsid w:val="0042122C"/>
    <w:rsid w:val="00473A80"/>
    <w:rsid w:val="00480861"/>
    <w:rsid w:val="004A0199"/>
    <w:rsid w:val="004C06AC"/>
    <w:rsid w:val="00502DC4"/>
    <w:rsid w:val="00507F50"/>
    <w:rsid w:val="005236AF"/>
    <w:rsid w:val="005254B0"/>
    <w:rsid w:val="00550FE5"/>
    <w:rsid w:val="005541DA"/>
    <w:rsid w:val="0055440B"/>
    <w:rsid w:val="00556C0B"/>
    <w:rsid w:val="005616AD"/>
    <w:rsid w:val="005866AB"/>
    <w:rsid w:val="00586AC6"/>
    <w:rsid w:val="005B6BED"/>
    <w:rsid w:val="005B7C06"/>
    <w:rsid w:val="005D408D"/>
    <w:rsid w:val="005F670D"/>
    <w:rsid w:val="00603547"/>
    <w:rsid w:val="006125A3"/>
    <w:rsid w:val="00627E62"/>
    <w:rsid w:val="00656404"/>
    <w:rsid w:val="00677C16"/>
    <w:rsid w:val="006A5838"/>
    <w:rsid w:val="006C00C7"/>
    <w:rsid w:val="006E3E38"/>
    <w:rsid w:val="007201C7"/>
    <w:rsid w:val="0072217D"/>
    <w:rsid w:val="007715AA"/>
    <w:rsid w:val="00791C99"/>
    <w:rsid w:val="007B144A"/>
    <w:rsid w:val="007C193E"/>
    <w:rsid w:val="00804650"/>
    <w:rsid w:val="00811363"/>
    <w:rsid w:val="00812FD0"/>
    <w:rsid w:val="00813915"/>
    <w:rsid w:val="00820625"/>
    <w:rsid w:val="008307E5"/>
    <w:rsid w:val="00836B4E"/>
    <w:rsid w:val="00871C28"/>
    <w:rsid w:val="008B1A65"/>
    <w:rsid w:val="008F0C39"/>
    <w:rsid w:val="00912005"/>
    <w:rsid w:val="009672FE"/>
    <w:rsid w:val="009A2438"/>
    <w:rsid w:val="009A4D94"/>
    <w:rsid w:val="009B517B"/>
    <w:rsid w:val="009E239B"/>
    <w:rsid w:val="009E4337"/>
    <w:rsid w:val="009E5F08"/>
    <w:rsid w:val="00A473D4"/>
    <w:rsid w:val="00AA46F2"/>
    <w:rsid w:val="00AA7D91"/>
    <w:rsid w:val="00AC1B98"/>
    <w:rsid w:val="00AF445A"/>
    <w:rsid w:val="00B11ECD"/>
    <w:rsid w:val="00B378EA"/>
    <w:rsid w:val="00B66A2A"/>
    <w:rsid w:val="00B8614D"/>
    <w:rsid w:val="00B94D12"/>
    <w:rsid w:val="00BE0890"/>
    <w:rsid w:val="00BF3903"/>
    <w:rsid w:val="00C4658D"/>
    <w:rsid w:val="00C60C68"/>
    <w:rsid w:val="00CD2A5F"/>
    <w:rsid w:val="00CD6C46"/>
    <w:rsid w:val="00CF0090"/>
    <w:rsid w:val="00CF2105"/>
    <w:rsid w:val="00CF4060"/>
    <w:rsid w:val="00D0075D"/>
    <w:rsid w:val="00D12DE6"/>
    <w:rsid w:val="00D2667B"/>
    <w:rsid w:val="00D30C3C"/>
    <w:rsid w:val="00D45E1A"/>
    <w:rsid w:val="00D56B03"/>
    <w:rsid w:val="00D61157"/>
    <w:rsid w:val="00D87300"/>
    <w:rsid w:val="00D92C35"/>
    <w:rsid w:val="00DA261F"/>
    <w:rsid w:val="00DB218A"/>
    <w:rsid w:val="00DC2D8D"/>
    <w:rsid w:val="00DD3152"/>
    <w:rsid w:val="00E1318A"/>
    <w:rsid w:val="00E47E6F"/>
    <w:rsid w:val="00E5613C"/>
    <w:rsid w:val="00E60D1B"/>
    <w:rsid w:val="00E756DD"/>
    <w:rsid w:val="00EC5802"/>
    <w:rsid w:val="00ED5B92"/>
    <w:rsid w:val="00F2031A"/>
    <w:rsid w:val="00F21807"/>
    <w:rsid w:val="00F55ADD"/>
    <w:rsid w:val="00F902FE"/>
    <w:rsid w:val="00FB6F19"/>
    <w:rsid w:val="00FC28F7"/>
    <w:rsid w:val="00FC378E"/>
    <w:rsid w:val="00FC4FC6"/>
    <w:rsid w:val="00FE35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12FD0"/>
    <w:rPr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qFormat/>
    <w:rsid w:val="00812FD0"/>
    <w:pPr>
      <w:keepNext/>
      <w:jc w:val="both"/>
      <w:outlineLvl w:val="0"/>
    </w:pPr>
    <w:rPr>
      <w:rFonts w:ascii="Arial" w:hAnsi="Arial"/>
      <w:b/>
      <w:sz w:val="28"/>
      <w:szCs w:val="20"/>
      <w:lang w:eastAsia="en-US"/>
    </w:rPr>
  </w:style>
  <w:style w:type="paragraph" w:styleId="Heading2">
    <w:name w:val="heading 2"/>
    <w:basedOn w:val="Normal"/>
    <w:next w:val="Normal"/>
    <w:qFormat/>
    <w:rsid w:val="00812FD0"/>
    <w:pPr>
      <w:keepNext/>
      <w:autoSpaceDE w:val="0"/>
      <w:autoSpaceDN w:val="0"/>
      <w:adjustRightInd w:val="0"/>
      <w:jc w:val="both"/>
      <w:outlineLvl w:val="1"/>
    </w:pPr>
    <w:rPr>
      <w:sz w:val="22"/>
      <w:szCs w:val="20"/>
      <w:lang w:val="et-EE" w:eastAsia="en-US"/>
    </w:rPr>
  </w:style>
  <w:style w:type="paragraph" w:styleId="Heading6">
    <w:name w:val="heading 6"/>
    <w:basedOn w:val="Normal"/>
    <w:next w:val="Normal"/>
    <w:link w:val="Heading6Char"/>
    <w:unhideWhenUsed/>
    <w:qFormat/>
    <w:rsid w:val="0060354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12FD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12FD0"/>
    <w:pPr>
      <w:tabs>
        <w:tab w:val="center" w:pos="4153"/>
        <w:tab w:val="right" w:pos="8306"/>
      </w:tabs>
    </w:pPr>
  </w:style>
  <w:style w:type="paragraph" w:customStyle="1" w:styleId="BodyText22">
    <w:name w:val="Body Text 22"/>
    <w:basedOn w:val="Normal"/>
    <w:rsid w:val="00812FD0"/>
    <w:pPr>
      <w:widowControl w:val="0"/>
      <w:jc w:val="both"/>
    </w:pPr>
    <w:rPr>
      <w:szCs w:val="20"/>
      <w:lang w:eastAsia="en-US"/>
    </w:rPr>
  </w:style>
  <w:style w:type="character" w:styleId="Strong">
    <w:name w:val="Strong"/>
    <w:qFormat/>
    <w:rsid w:val="00812FD0"/>
    <w:rPr>
      <w:b/>
    </w:rPr>
  </w:style>
  <w:style w:type="paragraph" w:customStyle="1" w:styleId="Style26">
    <w:name w:val="Style 26"/>
    <w:basedOn w:val="Normal"/>
    <w:rsid w:val="00812FD0"/>
    <w:pPr>
      <w:widowControl w:val="0"/>
    </w:pPr>
    <w:rPr>
      <w:szCs w:val="20"/>
      <w:lang w:val="en-US" w:eastAsia="en-US"/>
    </w:rPr>
  </w:style>
  <w:style w:type="character" w:styleId="Hyperlink">
    <w:name w:val="Hyperlink"/>
    <w:rsid w:val="00812FD0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603547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rsid w:val="00603547"/>
    <w:rPr>
      <w:rFonts w:ascii="Segoe UI" w:hAnsi="Segoe UI" w:cs="Segoe UI"/>
      <w:sz w:val="18"/>
      <w:szCs w:val="18"/>
      <w:lang w:val="en-GB" w:eastAsia="en-GB"/>
    </w:rPr>
  </w:style>
  <w:style w:type="character" w:customStyle="1" w:styleId="Heading6Char">
    <w:name w:val="Heading 6 Char"/>
    <w:link w:val="Heading6"/>
    <w:rsid w:val="00603547"/>
    <w:rPr>
      <w:rFonts w:ascii="Calibri" w:eastAsia="Times New Roman" w:hAnsi="Calibri" w:cs="Times New Roman"/>
      <w:b/>
      <w:bCs/>
      <w:sz w:val="22"/>
      <w:szCs w:val="22"/>
      <w:lang w:val="en-GB" w:eastAsia="en-GB"/>
    </w:rPr>
  </w:style>
  <w:style w:type="paragraph" w:customStyle="1" w:styleId="Address">
    <w:name w:val="Address"/>
    <w:basedOn w:val="Normal"/>
    <w:link w:val="AddressChar"/>
    <w:rsid w:val="009E239B"/>
    <w:rPr>
      <w:szCs w:val="20"/>
      <w:lang w:eastAsia="en-US"/>
    </w:rPr>
  </w:style>
  <w:style w:type="character" w:customStyle="1" w:styleId="AddressChar">
    <w:name w:val="Address Char"/>
    <w:link w:val="Address"/>
    <w:rsid w:val="009E239B"/>
    <w:rPr>
      <w:sz w:val="24"/>
      <w:lang w:val="en-GB" w:eastAsia="en-US"/>
    </w:rPr>
  </w:style>
  <w:style w:type="character" w:customStyle="1" w:styleId="UnresolvedMention">
    <w:name w:val="Unresolved Mention"/>
    <w:uiPriority w:val="99"/>
    <w:semiHidden/>
    <w:unhideWhenUsed/>
    <w:rsid w:val="00034CBA"/>
    <w:rPr>
      <w:color w:val="605E5C"/>
      <w:shd w:val="clear" w:color="auto" w:fill="E1DFDD"/>
    </w:rPr>
  </w:style>
  <w:style w:type="character" w:styleId="CommentReference">
    <w:name w:val="annotation reference"/>
    <w:rsid w:val="007B144A"/>
    <w:rPr>
      <w:sz w:val="16"/>
      <w:szCs w:val="16"/>
    </w:rPr>
  </w:style>
  <w:style w:type="paragraph" w:styleId="CommentText">
    <w:name w:val="annotation text"/>
    <w:basedOn w:val="Normal"/>
    <w:link w:val="CommentTextChar"/>
    <w:rsid w:val="007B144A"/>
    <w:rPr>
      <w:sz w:val="20"/>
      <w:szCs w:val="20"/>
    </w:rPr>
  </w:style>
  <w:style w:type="character" w:customStyle="1" w:styleId="CommentTextChar">
    <w:name w:val="Comment Text Char"/>
    <w:link w:val="CommentText"/>
    <w:rsid w:val="007B144A"/>
    <w:rPr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7B144A"/>
    <w:rPr>
      <w:b/>
      <w:bCs/>
    </w:rPr>
  </w:style>
  <w:style w:type="character" w:customStyle="1" w:styleId="CommentSubjectChar">
    <w:name w:val="Comment Subject Char"/>
    <w:link w:val="CommentSubject"/>
    <w:rsid w:val="007B144A"/>
    <w:rPr>
      <w:b/>
      <w:bCs/>
      <w:lang w:val="en-GB" w:eastAsia="en-GB"/>
    </w:rPr>
  </w:style>
  <w:style w:type="table" w:styleId="TableGrid">
    <w:name w:val="Table Grid"/>
    <w:basedOn w:val="TableNormal"/>
    <w:uiPriority w:val="39"/>
    <w:rsid w:val="00B66A2A"/>
    <w:rPr>
      <w:rFonts w:ascii="Calibri" w:eastAsia="Calibri" w:hAnsi="Calibri"/>
      <w:sz w:val="22"/>
      <w:szCs w:val="22"/>
      <w:lang w:val="fi-F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9B517B"/>
    <w:rPr>
      <w:sz w:val="24"/>
      <w:szCs w:val="24"/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9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15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indrija.askeloviciene@esf.l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653DE0-0B50-41E8-BF78-D9921F69C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562</Words>
  <Characters>3207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Assistant Twinning Advisor (RTA Assistant): Job Advertisement</vt:lpstr>
      <vt:lpstr>Assistant Twinning Advisor (RTA Assistant): Job Advertisement</vt:lpstr>
    </vt:vector>
  </TitlesOfParts>
  <Company>European Agency for Reconstruction</Company>
  <LinksUpToDate>false</LinksUpToDate>
  <CharactersWithSpaces>3762</CharactersWithSpaces>
  <SharedDoc>false</SharedDoc>
  <HLinks>
    <vt:vector size="6" baseType="variant">
      <vt:variant>
        <vt:i4>8060952</vt:i4>
      </vt:variant>
      <vt:variant>
        <vt:i4>0</vt:i4>
      </vt:variant>
      <vt:variant>
        <vt:i4>0</vt:i4>
      </vt:variant>
      <vt:variant>
        <vt:i4>5</vt:i4>
      </vt:variant>
      <vt:variant>
        <vt:lpwstr>mailto:indrija.askeloviciene@esf.lt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Assistant Twinning Advisor (RTA Assistant): Job Advertisement</dc:title>
  <dc:creator>papican</dc:creator>
  <cp:lastModifiedBy>Juliija Stojkovska</cp:lastModifiedBy>
  <cp:revision>4</cp:revision>
  <dcterms:created xsi:type="dcterms:W3CDTF">2021-10-07T12:30:00Z</dcterms:created>
  <dcterms:modified xsi:type="dcterms:W3CDTF">2021-10-07T13:01:00Z</dcterms:modified>
</cp:coreProperties>
</file>